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Georgia" w:cs="Georgia" w:eastAsia="Georgia" w:hAnsi="Georgia"/>
          <w:i w:val="1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i w:val="1"/>
          <w:sz w:val="36"/>
          <w:szCs w:val="36"/>
          <w:u w:val="single"/>
          <w:rtl w:val="0"/>
        </w:rPr>
        <w:t xml:space="preserve">Rupa &amp; Company Limited Clinches Top Honor for Corporate Social Responsibility at Corporate Governance and Sustainability Vision Awards 2024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March 15, 2024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– Rupa &amp; Company Limited, one of India's leading textile manufacturers, proudly announces its prestigious win at the esteemed Corporate Governance and Sustainability Vision Awards 2024, organized by the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Indian Chamber of Commerce.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company has been bestowed with the coveted title of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Rank 1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in the category of "Corporate Social Responsibility," recognizing its unwavering commitment to societal welfare and sustainable business practices.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award ceremony, held in New Delhi, witnessed the presence of eminent dignitaries and industry stalwarts.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Mr. M Nagaraju,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Additional Secretary of the Ministry of Coal, presented the accolade to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Mr. Rohit Gupta, General Manager of Rupa &amp; Company Limited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amidst thunderous applause.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Expressing his gratitude, Mr. Gupta remarked, "This accolade reaffirms our dedication to making a meaningful difference in the communities we serve. At Rupa, corporate social responsibility isn't just a mandate; it's ingrained in our DNA."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Rupa &amp; Company Limited's initiatives span diverse areas, including education, healthcare, environmental conservation, and community development, underscoring its holistic approach towards sustainable growth and societal well-being.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The company's exemplary performance in corporate governance and sustainability serves as a beacon for industry peers, inspiring a collective commitment towards building a ‘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better tomorrow’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For more information about Rupa &amp; Company Limited and its initiatives, please visit [Rupa.co.in].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